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8" w:rsidRPr="003F0446" w:rsidRDefault="000C0D48" w:rsidP="000C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bookmarkStart w:id="0" w:name="_GoBack"/>
      <w:bookmarkEnd w:id="0"/>
      <w:r w:rsidRPr="003F0446">
        <w:rPr>
          <w:b/>
          <w:szCs w:val="28"/>
        </w:rPr>
        <w:t>Зарегистрирована</w:t>
      </w:r>
    </w:p>
    <w:p w:rsidR="000C0D48" w:rsidRPr="0078430F" w:rsidRDefault="000C0D48" w:rsidP="000C0D48">
      <w:pPr>
        <w:pStyle w:val="a9"/>
        <w:jc w:val="both"/>
        <w:rPr>
          <w:sz w:val="28"/>
          <w:szCs w:val="28"/>
        </w:rPr>
      </w:pPr>
      <w:r w:rsidRPr="0078430F">
        <w:rPr>
          <w:sz w:val="28"/>
          <w:szCs w:val="28"/>
        </w:rPr>
        <w:t>Отделом государственного пожарного надзора по г.</w:t>
      </w:r>
      <w:r>
        <w:rPr>
          <w:sz w:val="28"/>
          <w:szCs w:val="28"/>
        </w:rPr>
        <w:t xml:space="preserve"> </w:t>
      </w:r>
      <w:r w:rsidRPr="0078430F">
        <w:rPr>
          <w:sz w:val="28"/>
          <w:szCs w:val="28"/>
        </w:rPr>
        <w:t xml:space="preserve">Астрахани </w:t>
      </w:r>
    </w:p>
    <w:p w:rsidR="000C0D48" w:rsidRPr="003F0446" w:rsidRDefault="000C0D48" w:rsidP="000C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 xml:space="preserve">Управления ГПН Главного управления МЧС России </w:t>
      </w:r>
    </w:p>
    <w:p w:rsidR="000C0D48" w:rsidRPr="003F0446" w:rsidRDefault="000C0D48" w:rsidP="000C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 xml:space="preserve">по </w:t>
      </w:r>
      <w:r>
        <w:rPr>
          <w:szCs w:val="28"/>
        </w:rPr>
        <w:t>Астраханской</w:t>
      </w:r>
      <w:r w:rsidRPr="003F0446">
        <w:rPr>
          <w:szCs w:val="28"/>
        </w:rPr>
        <w:t xml:space="preserve"> области </w:t>
      </w:r>
    </w:p>
    <w:p w:rsidR="000C0D48" w:rsidRPr="003F0446" w:rsidRDefault="000C0D48" w:rsidP="000C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0C0D48" w:rsidRPr="003F0446" w:rsidRDefault="000C0D48" w:rsidP="000C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 xml:space="preserve"> </w:t>
      </w:r>
    </w:p>
    <w:p w:rsidR="000C0D48" w:rsidRPr="003F0446" w:rsidRDefault="000C0D48" w:rsidP="000C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 xml:space="preserve"> "__"______________ 20___ г.</w:t>
      </w:r>
    </w:p>
    <w:p w:rsidR="000C0D48" w:rsidRPr="003F0446" w:rsidRDefault="000C0D48" w:rsidP="000C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0C0D48" w:rsidRPr="003F0446" w:rsidRDefault="000C0D48" w:rsidP="000C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T Extra" w:hAnsi="MT Extra"/>
          <w:szCs w:val="28"/>
        </w:rPr>
      </w:pPr>
      <w:r w:rsidRPr="003F0446">
        <w:rPr>
          <w:szCs w:val="28"/>
        </w:rPr>
        <w:t xml:space="preserve">Регистрационный N 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szCs w:val="28"/>
        </w:rPr>
        <w:t>-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szCs w:val="28"/>
        </w:rPr>
        <w:t>-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</w:p>
    <w:p w:rsidR="000C0D48" w:rsidRPr="003F0446" w:rsidRDefault="000C0D48" w:rsidP="000C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0C0D48" w:rsidRPr="003F0446" w:rsidRDefault="000C0D48" w:rsidP="000C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3F0446">
        <w:rPr>
          <w:b/>
          <w:szCs w:val="28"/>
        </w:rPr>
        <w:t>ДЕКЛАРАЦИЯ</w:t>
      </w:r>
    </w:p>
    <w:p w:rsidR="000C0D48" w:rsidRPr="003F0446" w:rsidRDefault="000C0D48" w:rsidP="000C0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3F0446">
        <w:rPr>
          <w:b/>
          <w:szCs w:val="28"/>
        </w:rPr>
        <w:t>ПОЖАРНОЙ БЕЗОПАСНОСТИ</w:t>
      </w:r>
    </w:p>
    <w:p w:rsidR="000C0D48" w:rsidRPr="003F0446" w:rsidRDefault="000C0D48" w:rsidP="000C0D48">
      <w:pPr>
        <w:pStyle w:val="a4"/>
        <w:spacing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C0D48" w:rsidRPr="00F51D22">
        <w:tc>
          <w:tcPr>
            <w:tcW w:w="10137" w:type="dxa"/>
            <w:tcBorders>
              <w:bottom w:val="single" w:sz="4" w:space="0" w:color="auto"/>
            </w:tcBorders>
          </w:tcPr>
          <w:p w:rsidR="000C0D48" w:rsidRPr="00565814" w:rsidRDefault="000C0D48" w:rsidP="00123AF2">
            <w:pPr>
              <w:pStyle w:val="a4"/>
              <w:ind w:left="0" w:firstLine="72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Настоящая декларация составлена в отношении:</w:t>
            </w:r>
            <w:r>
              <w:rPr>
                <w:rFonts w:ascii="Times New Roman" w:hAnsi="Times New Roman"/>
                <w:i/>
                <w:spacing w:val="20"/>
                <w:sz w:val="28"/>
                <w:szCs w:val="28"/>
              </w:rPr>
              <w:t xml:space="preserve"> Дошкольного </w:t>
            </w:r>
          </w:p>
        </w:tc>
      </w:tr>
      <w:tr w:rsidR="000C0D48" w:rsidRPr="00F51D22">
        <w:tc>
          <w:tcPr>
            <w:tcW w:w="10137" w:type="dxa"/>
            <w:tcBorders>
              <w:top w:val="single" w:sz="4" w:space="0" w:color="auto"/>
              <w:bottom w:val="nil"/>
            </w:tcBorders>
          </w:tcPr>
          <w:p w:rsidR="000C0D48" w:rsidRPr="00F51D22" w:rsidRDefault="000C0D48" w:rsidP="00123AF2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F51D22">
              <w:rPr>
                <w:sz w:val="16"/>
                <w:szCs w:val="16"/>
              </w:rPr>
              <w:t>(Указывается организационно-правовая форма юридического лица, функциональное назначение, полное и</w:t>
            </w:r>
            <w:r w:rsidRPr="00F51D22">
              <w:rPr>
                <w:sz w:val="20"/>
              </w:rPr>
              <w:t xml:space="preserve"> </w:t>
            </w:r>
            <w:r w:rsidRPr="00F51D22">
              <w:rPr>
                <w:sz w:val="16"/>
                <w:szCs w:val="16"/>
              </w:rPr>
              <w:t>сокращенное наименование (в случае, если имеется), в том числе фирменное  наименование объекта защиты)</w:t>
            </w:r>
          </w:p>
        </w:tc>
      </w:tr>
      <w:tr w:rsidR="000C0D48" w:rsidRPr="00F51D22">
        <w:trPr>
          <w:trHeight w:val="161"/>
        </w:trPr>
        <w:tc>
          <w:tcPr>
            <w:tcW w:w="10137" w:type="dxa"/>
            <w:tcBorders>
              <w:top w:val="nil"/>
              <w:bottom w:val="nil"/>
            </w:tcBorders>
          </w:tcPr>
          <w:p w:rsidR="000C0D48" w:rsidRPr="005E170E" w:rsidRDefault="000C0D48" w:rsidP="00123AF2">
            <w:pPr>
              <w:pStyle w:val="a4"/>
              <w:ind w:left="0"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5E170E">
              <w:rPr>
                <w:rFonts w:ascii="Times New Roman" w:hAnsi="Times New Roman"/>
                <w:i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«Родничок»</w:t>
            </w:r>
            <w:r w:rsidRPr="005E17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C0D48" w:rsidRPr="00F51D22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0C0D48" w:rsidRPr="00F51D22" w:rsidRDefault="000C0D48" w:rsidP="00123AF2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  <w:u w:val="single"/>
              </w:rPr>
            </w:pP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Основной государственный регистрационный номер записи о</w:t>
            </w:r>
            <w:r w:rsidRPr="00F51D22">
              <w:rPr>
                <w:spacing w:val="20"/>
                <w:szCs w:val="28"/>
              </w:rPr>
              <w:t xml:space="preserve"> </w:t>
            </w:r>
          </w:p>
        </w:tc>
      </w:tr>
      <w:tr w:rsidR="000C0D48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0D48" w:rsidRPr="00F51D22" w:rsidRDefault="000C0D48" w:rsidP="00123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  <w:u w:val="single"/>
              </w:rPr>
            </w:pP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государственной регистрации юридического лица: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111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22222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0</w:t>
            </w:r>
          </w:p>
        </w:tc>
      </w:tr>
      <w:tr w:rsidR="000C0D48" w:rsidRPr="00F51D22">
        <w:trPr>
          <w:trHeight w:val="166"/>
        </w:trPr>
        <w:tc>
          <w:tcPr>
            <w:tcW w:w="10137" w:type="dxa"/>
            <w:tcBorders>
              <w:top w:val="single" w:sz="4" w:space="0" w:color="auto"/>
              <w:bottom w:val="nil"/>
            </w:tcBorders>
          </w:tcPr>
          <w:p w:rsidR="000C0D48" w:rsidRPr="00F51D22" w:rsidRDefault="000C0D48" w:rsidP="00123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D48" w:rsidRPr="00F51D22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0C0D48" w:rsidRPr="00F51D22" w:rsidRDefault="000C0D48" w:rsidP="00123AF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Идентификационный номер налогоплательщика: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9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9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99999</w:t>
            </w:r>
          </w:p>
        </w:tc>
      </w:tr>
      <w:tr w:rsidR="000C0D48" w:rsidRPr="00F51D22">
        <w:tc>
          <w:tcPr>
            <w:tcW w:w="10137" w:type="dxa"/>
            <w:tcBorders>
              <w:top w:val="single" w:sz="4" w:space="0" w:color="auto"/>
              <w:bottom w:val="nil"/>
            </w:tcBorders>
          </w:tcPr>
          <w:p w:rsidR="000C0D48" w:rsidRPr="00F51D22" w:rsidRDefault="000C0D48" w:rsidP="00123AF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D48" w:rsidRPr="00F51D22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0C0D48" w:rsidRPr="00F51D22" w:rsidRDefault="000C0D48" w:rsidP="00123AF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Место нахождения объекта защиты: 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 Астрахань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, улица</w:t>
            </w:r>
          </w:p>
        </w:tc>
      </w:tr>
      <w:tr w:rsidR="000C0D48" w:rsidRPr="00F51D22">
        <w:tc>
          <w:tcPr>
            <w:tcW w:w="10137" w:type="dxa"/>
            <w:tcBorders>
              <w:top w:val="single" w:sz="4" w:space="0" w:color="auto"/>
              <w:bottom w:val="nil"/>
            </w:tcBorders>
          </w:tcPr>
          <w:p w:rsidR="000C0D48" w:rsidRPr="00F51D22" w:rsidRDefault="000C0D48" w:rsidP="00123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D22">
              <w:rPr>
                <w:rFonts w:ascii="Times New Roman" w:hAnsi="Times New Roman" w:cs="Times New Roman"/>
                <w:sz w:val="16"/>
                <w:szCs w:val="16"/>
              </w:rPr>
              <w:t>(Указывается адрес фактического  места нахождения объекта защиты)</w:t>
            </w:r>
          </w:p>
        </w:tc>
      </w:tr>
      <w:tr w:rsidR="000C0D48" w:rsidRPr="00F51D22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0C0D48" w:rsidRPr="00F51D22" w:rsidRDefault="00341B5D" w:rsidP="00123A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pacing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Тольятти</w:t>
            </w:r>
            <w:r w:rsidR="000C0D48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, д.</w:t>
            </w:r>
            <w:r w:rsidR="000C0D48"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 №</w:t>
            </w:r>
            <w:r w:rsidR="000C0D48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</w:t>
            </w:r>
            <w:r w:rsidR="000C0D48"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.</w:t>
            </w:r>
          </w:p>
        </w:tc>
      </w:tr>
      <w:tr w:rsidR="000C0D48" w:rsidRPr="00F51D22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0C0D48" w:rsidRPr="00F51D22" w:rsidRDefault="000C0D48" w:rsidP="00123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</w:pPr>
          </w:p>
        </w:tc>
      </w:tr>
      <w:tr w:rsidR="000C0D48" w:rsidRPr="00F51D22">
        <w:tc>
          <w:tcPr>
            <w:tcW w:w="10137" w:type="dxa"/>
            <w:tcBorders>
              <w:top w:val="single" w:sz="4" w:space="0" w:color="auto"/>
              <w:bottom w:val="nil"/>
            </w:tcBorders>
          </w:tcPr>
          <w:p w:rsidR="000C0D48" w:rsidRPr="00F51D22" w:rsidRDefault="000C0D48" w:rsidP="00123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C0D48" w:rsidRPr="00F51D22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0C0D48" w:rsidRPr="00F51D22" w:rsidRDefault="000C0D48" w:rsidP="00123AF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Почтовый и электронный адреса, телефон, факс юридического </w:t>
            </w:r>
          </w:p>
        </w:tc>
      </w:tr>
      <w:tr w:rsidR="000C0D48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0D48" w:rsidRPr="00E43147" w:rsidRDefault="000C0D48" w:rsidP="00123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лица и объекта</w:t>
            </w:r>
            <w:r w:rsidRPr="00F51D22">
              <w:rPr>
                <w:spacing w:val="20"/>
                <w:szCs w:val="28"/>
              </w:rPr>
              <w:t xml:space="preserve"> </w:t>
            </w:r>
            <w:r w:rsidRPr="00F51D22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защиты: 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почтовый адрес –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66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, город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Астрахань</w:t>
            </w:r>
          </w:p>
        </w:tc>
      </w:tr>
      <w:tr w:rsidR="000C0D48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0D48" w:rsidRPr="00657137" w:rsidRDefault="000C0D48" w:rsidP="00123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улица </w:t>
            </w:r>
            <w:r w:rsidR="00341B5D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Тольятти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, дом №</w:t>
            </w:r>
            <w:r w:rsidR="00341B5D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; юридический адрес –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66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 Астрахань,</w:t>
            </w:r>
          </w:p>
        </w:tc>
      </w:tr>
      <w:tr w:rsidR="000C0D48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0D48" w:rsidRPr="00F51D22" w:rsidRDefault="000C0D48" w:rsidP="00123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улица </w:t>
            </w:r>
            <w:r w:rsidR="00341B5D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Тольятти, д.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 №</w:t>
            </w:r>
            <w:r w:rsidR="00341B5D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6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.</w:t>
            </w:r>
          </w:p>
        </w:tc>
      </w:tr>
      <w:tr w:rsidR="000C0D48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0D48" w:rsidRPr="00F51D22" w:rsidRDefault="000C0D48" w:rsidP="00123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</w:pPr>
          </w:p>
        </w:tc>
      </w:tr>
      <w:tr w:rsidR="000C0D48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0D48" w:rsidRPr="00565814" w:rsidRDefault="000C0D48" w:rsidP="00123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Тел.</w:t>
            </w:r>
            <w:r w:rsidRPr="0056581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565814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2</w:t>
            </w:r>
            <w:r w:rsidRPr="00565814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2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2</w:t>
            </w:r>
            <w:r w:rsidRPr="00565814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55555</w:t>
            </w:r>
            <w:r w:rsidRPr="00565814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>;</w:t>
            </w:r>
          </w:p>
        </w:tc>
      </w:tr>
      <w:tr w:rsidR="000C0D48" w:rsidRPr="00F51D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C0D48" w:rsidRPr="00F51D22" w:rsidRDefault="000C0D48" w:rsidP="00123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</w:pP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Заведующая дошкольным учреждением - </w:t>
            </w:r>
            <w:r w:rsidRPr="00F51D22"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20"/>
                <w:sz w:val="28"/>
                <w:szCs w:val="28"/>
              </w:rPr>
              <w:t xml:space="preserve">Иванова Ольга Петровна </w:t>
            </w:r>
          </w:p>
        </w:tc>
      </w:tr>
    </w:tbl>
    <w:p w:rsidR="000C0D48" w:rsidRPr="002022FA" w:rsidRDefault="000C0D48" w:rsidP="000C0D48">
      <w:pPr>
        <w:pStyle w:val="a4"/>
        <w:ind w:left="0" w:hanging="720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9496"/>
      </w:tblGrid>
      <w:tr w:rsidR="000C0D48" w:rsidRPr="00F51D22">
        <w:trPr>
          <w:trHeight w:val="603"/>
        </w:trPr>
        <w:tc>
          <w:tcPr>
            <w:tcW w:w="677" w:type="dxa"/>
            <w:vAlign w:val="center"/>
          </w:tcPr>
          <w:p w:rsidR="000C0D48" w:rsidRPr="00572C96" w:rsidRDefault="000C0D48" w:rsidP="00123AF2">
            <w:pPr>
              <w:jc w:val="center"/>
            </w:pPr>
            <w:r w:rsidRPr="00572C96">
              <w:t>№ п/п</w:t>
            </w:r>
          </w:p>
        </w:tc>
        <w:tc>
          <w:tcPr>
            <w:tcW w:w="9496" w:type="dxa"/>
            <w:vAlign w:val="center"/>
          </w:tcPr>
          <w:p w:rsidR="000C0D48" w:rsidRPr="00572C96" w:rsidRDefault="000C0D48" w:rsidP="00123AF2">
            <w:pPr>
              <w:jc w:val="center"/>
            </w:pPr>
            <w:r w:rsidRPr="00572C96">
              <w:t>Наименование раздела</w:t>
            </w:r>
          </w:p>
        </w:tc>
      </w:tr>
      <w:tr w:rsidR="000C0D48" w:rsidRPr="00572C96">
        <w:tc>
          <w:tcPr>
            <w:tcW w:w="677" w:type="dxa"/>
            <w:vAlign w:val="center"/>
          </w:tcPr>
          <w:p w:rsidR="000C0D48" w:rsidRPr="00572C96" w:rsidRDefault="000C0D48" w:rsidP="00123AF2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C9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96" w:type="dxa"/>
            <w:vAlign w:val="center"/>
          </w:tcPr>
          <w:p w:rsidR="000C0D48" w:rsidRPr="00572C96" w:rsidRDefault="000C0D48" w:rsidP="00123AF2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C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C0D48" w:rsidRPr="00F51D22">
        <w:trPr>
          <w:trHeight w:val="643"/>
        </w:trPr>
        <w:tc>
          <w:tcPr>
            <w:tcW w:w="677" w:type="dxa"/>
            <w:vMerge w:val="restart"/>
            <w:vAlign w:val="center"/>
          </w:tcPr>
          <w:p w:rsidR="000C0D48" w:rsidRPr="00F51D22" w:rsidRDefault="000C0D48" w:rsidP="00123AF2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F51D22">
              <w:rPr>
                <w:b/>
                <w:szCs w:val="28"/>
                <w:lang w:val="en-US"/>
              </w:rPr>
              <w:t>I</w:t>
            </w:r>
            <w:r w:rsidRPr="00F51D22">
              <w:rPr>
                <w:b/>
                <w:szCs w:val="28"/>
              </w:rPr>
              <w:t>.</w:t>
            </w:r>
          </w:p>
        </w:tc>
        <w:tc>
          <w:tcPr>
            <w:tcW w:w="9496" w:type="dxa"/>
            <w:tcBorders>
              <w:bottom w:val="single" w:sz="4" w:space="0" w:color="auto"/>
            </w:tcBorders>
            <w:vAlign w:val="center"/>
          </w:tcPr>
          <w:p w:rsidR="000C0D48" w:rsidRPr="00572C96" w:rsidRDefault="000C0D48" w:rsidP="00123AF2">
            <w:pPr>
              <w:pStyle w:val="a4"/>
              <w:ind w:left="0" w:firstLine="32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 w:rsidRPr="00572C96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Оценка пожарного риска</w:t>
            </w:r>
            <w:r w:rsidRPr="00572C96">
              <w:rPr>
                <w:rStyle w:val="a8"/>
                <w:rFonts w:ascii="Times New Roman" w:hAnsi="Times New Roman"/>
                <w:spacing w:val="20"/>
                <w:sz w:val="28"/>
                <w:szCs w:val="28"/>
                <w:u w:val="single"/>
              </w:rPr>
              <w:footnoteReference w:id="1"/>
            </w:r>
            <w:r w:rsidRPr="00572C96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, обеспеченного на объекте защиты</w:t>
            </w:r>
          </w:p>
        </w:tc>
      </w:tr>
      <w:tr w:rsidR="000C0D48" w:rsidRPr="00F51D22">
        <w:trPr>
          <w:trHeight w:val="300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0C0D48" w:rsidRPr="00F51D22" w:rsidRDefault="000C0D48" w:rsidP="00123AF2">
            <w:pPr>
              <w:pStyle w:val="a4"/>
              <w:ind w:left="0" w:firstLine="720"/>
              <w:jc w:val="center"/>
              <w:rPr>
                <w:szCs w:val="28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48" w:rsidRPr="00565814" w:rsidRDefault="000C0D48" w:rsidP="00123AF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Дошкольное учреждение  «Родничок» расположено городе Астрахани»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 в двухэт</w:t>
            </w:r>
            <w:r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ажном здании 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 по адресу: город </w:t>
            </w:r>
            <w:r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Астрахань, улица Тольятти, дом №6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. Здание общей площадью </w:t>
            </w:r>
            <w:smartTag w:uri="urn:schemas-microsoft-com:office:smarttags" w:element="metricconverter">
              <w:smartTagPr>
                <w:attr w:name="ProductID" w:val="663,1 м"/>
              </w:smartTagPr>
              <w:r w:rsidRPr="00565814">
                <w:rPr>
                  <w:rFonts w:ascii="Times New Roman" w:hAnsi="Times New Roman" w:cs="Times New Roman"/>
                  <w:iCs/>
                  <w:spacing w:val="20"/>
                  <w:sz w:val="28"/>
                  <w:szCs w:val="28"/>
                </w:rPr>
                <w:t>663,1 м</w:t>
              </w:r>
            </w:smartTag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.кв., </w:t>
            </w:r>
            <w:r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lastRenderedPageBreak/>
              <w:t>второй степени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огнестойкости, постройки 1980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 года. Класс функциональной пожарной опасности здания  Ф 1.1 в соответствии с требованиями  </w:t>
            </w:r>
            <w:r w:rsidRPr="00565814">
              <w:rPr>
                <w:rFonts w:ascii="Times New Roman" w:eastAsia="TimesNewRoman" w:hAnsi="Times New Roman" w:cs="Times New Roman"/>
                <w:iCs/>
                <w:spacing w:val="20"/>
                <w:sz w:val="28"/>
                <w:szCs w:val="28"/>
              </w:rPr>
              <w:t xml:space="preserve">СНиП 21-01-97* «Пожарная безопасность зданий и сооружений», а также в соответствии со статьей 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32 Федерального закона «Технический регламент о требованиях пожарной безопасности» от 22.07.08 г. №</w:t>
            </w:r>
            <w:r w:rsidRPr="00565814">
              <w:rPr>
                <w:rFonts w:ascii="Times New Roman" w:eastAsia="TimesNewRoman" w:hAnsi="Times New Roman" w:cs="Times New Roman"/>
                <w:iCs/>
                <w:spacing w:val="20"/>
                <w:sz w:val="28"/>
                <w:szCs w:val="28"/>
              </w:rPr>
              <w:t>ФЗ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-123. Ограждающие и несущие конструкции (стены внутренние и наружные) кирпичные; перекрытия: подвальное – армокирпичное, междуэтажное – армокирпичное, чердачное -  деревянное по деревянным балкам; кровля – металлочерепица по деревянной обрешетке (деревянные конструкции чердачных помещений обрабатывались огнезащитным составом 17.02.09 г</w:t>
            </w:r>
            <w:r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. ООО «Некст-Строй»). Отопление 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– центральное вод</w:t>
            </w:r>
            <w:r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яное. Здание электрифицировано, </w:t>
            </w: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электрооборудование выполнено в соответствии с требованиями ПУЭ, (технический отчет №1602 от 09.02.09 г. подготовленный электролабораторией ООО «Элетех») подаваемое напряжение 220-380 В. Эвакуация людей из здания предусмотрена по существующим путям эвакуации, через имеющиеся 5 эвакуационных выходов. Вентиляция естественная. Помещения обеспечены первичными средствами пожаротушения (огнетушителями)</w:t>
            </w:r>
            <w:r w:rsidRPr="00565814">
              <w:rPr>
                <w:rFonts w:ascii="Times New Roman" w:eastAsia="TimesNewRoman" w:hAnsi="Times New Roman" w:cs="Times New Roman"/>
                <w:iCs/>
                <w:spacing w:val="20"/>
                <w:sz w:val="28"/>
                <w:szCs w:val="28"/>
              </w:rPr>
              <w:t xml:space="preserve"> в соответствии с приложения 3 Правил пожарной безопасности в Российской Федерации (ППБ 01-03).</w:t>
            </w:r>
          </w:p>
          <w:p w:rsidR="000C0D48" w:rsidRPr="00565814" w:rsidRDefault="000C0D48" w:rsidP="00123AF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Помещения интерната оборудованы автоматической установкой пожарной сигнализации (в соответствии с Нормами пожарной безопасности «Перечень зданий, сооружений помещений и оборудования, подлежащих защите АУПТ и АУПС» - НПБ 110-03) и системой оповещения людей о пожаре (в соответствии с Нормами пожарной безопасности «Системы оповещения и управления эвакуацией людей при пожарах в зданиях и сооружениях» - НПБ 104-03), а также эвакуационным освещением. Автоматическая установка пожарной сигнализации находится на обслуживании специализированной организации, имеющей лицензию, согласно договора №02/03/09 от 02.03.09 г.</w:t>
            </w:r>
          </w:p>
          <w:p w:rsidR="000C0D48" w:rsidRPr="00565814" w:rsidRDefault="000C0D48" w:rsidP="00123AF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 xml:space="preserve">Мероприятия противопожарного режима выполняются. Ответственная за ПБ прошла обучение по мерам пожарной безопасности в КРОООО ВДПО 26.03.2009 г. В помещениях вывешены планы эвакуации на случай возникновения пожара. </w:t>
            </w:r>
          </w:p>
          <w:p w:rsidR="000C0D48" w:rsidRPr="00565814" w:rsidRDefault="000C0D48" w:rsidP="00123AF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pacing w:val="20"/>
                <w:sz w:val="28"/>
                <w:szCs w:val="28"/>
              </w:rPr>
              <w:t>Наружное пожаротушения обеспечено от пожарного гидранта, установленного на водопроводной городской сети.</w:t>
            </w:r>
          </w:p>
          <w:p w:rsidR="000C0D48" w:rsidRPr="00565814" w:rsidRDefault="000C0D48" w:rsidP="00123AF2">
            <w:pPr>
              <w:ind w:firstLine="567"/>
              <w:jc w:val="both"/>
              <w:rPr>
                <w:rFonts w:eastAsia="TimesNewRoman"/>
                <w:b/>
                <w:iCs/>
                <w:spacing w:val="20"/>
                <w:szCs w:val="28"/>
                <w:lang w:eastAsia="en-US"/>
              </w:rPr>
            </w:pPr>
            <w:r>
              <w:rPr>
                <w:rFonts w:eastAsia="TimesNewRoman"/>
                <w:b/>
                <w:iCs/>
                <w:spacing w:val="20"/>
                <w:szCs w:val="28"/>
                <w:lang w:eastAsia="en-US"/>
              </w:rPr>
              <w:t xml:space="preserve">На объекте </w:t>
            </w:r>
            <w:r w:rsidRPr="00565814">
              <w:rPr>
                <w:rFonts w:eastAsia="TimesNewRoman"/>
                <w:b/>
                <w:iCs/>
                <w:spacing w:val="20"/>
                <w:szCs w:val="28"/>
                <w:lang w:eastAsia="en-US"/>
              </w:rPr>
              <w:t xml:space="preserve">защиты </w:t>
            </w:r>
            <w:r w:rsidRPr="00565814">
              <w:rPr>
                <w:b/>
                <w:iCs/>
                <w:spacing w:val="20"/>
                <w:szCs w:val="28"/>
              </w:rPr>
              <w:t>расчет пожарного риска не проводился.</w:t>
            </w:r>
          </w:p>
          <w:p w:rsidR="000C0D48" w:rsidRPr="00565814" w:rsidRDefault="000C0D48" w:rsidP="00123AF2">
            <w:pPr>
              <w:pStyle w:val="a4"/>
              <w:ind w:left="0" w:firstLine="720"/>
              <w:rPr>
                <w:rFonts w:ascii="Times New Roman" w:hAnsi="Times New Roman"/>
                <w:bCs/>
                <w:iCs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iCs/>
                <w:spacing w:val="20"/>
                <w:sz w:val="28"/>
                <w:szCs w:val="28"/>
              </w:rPr>
              <w:t xml:space="preserve">Необходимость выполнения расчетной оценки индивидуального пожарного риска определяется в соответствии с положениями </w:t>
            </w:r>
            <w:r w:rsidRPr="00565814">
              <w:rPr>
                <w:rFonts w:ascii="Times New Roman" w:hAnsi="Times New Roman"/>
                <w:bCs/>
                <w:iCs/>
                <w:spacing w:val="20"/>
                <w:sz w:val="28"/>
                <w:szCs w:val="28"/>
              </w:rPr>
              <w:t xml:space="preserve">Федерального закона Российской Федерации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5814">
                <w:rPr>
                  <w:rFonts w:ascii="Times New Roman" w:hAnsi="Times New Roman"/>
                  <w:bCs/>
                  <w:iCs/>
                  <w:spacing w:val="20"/>
                  <w:sz w:val="28"/>
                  <w:szCs w:val="28"/>
                </w:rPr>
                <w:t>2008 г</w:t>
              </w:r>
            </w:smartTag>
            <w:r w:rsidRPr="00565814">
              <w:rPr>
                <w:rFonts w:ascii="Times New Roman" w:hAnsi="Times New Roman"/>
                <w:bCs/>
                <w:iCs/>
                <w:spacing w:val="20"/>
                <w:sz w:val="28"/>
                <w:szCs w:val="28"/>
              </w:rPr>
              <w:t xml:space="preserve">. № 123-ФЗ «Технический регламент о требованиях </w:t>
            </w:r>
            <w:r w:rsidRPr="00565814">
              <w:rPr>
                <w:rFonts w:ascii="Times New Roman" w:hAnsi="Times New Roman"/>
                <w:bCs/>
                <w:iCs/>
                <w:spacing w:val="20"/>
                <w:sz w:val="28"/>
                <w:szCs w:val="28"/>
              </w:rPr>
              <w:lastRenderedPageBreak/>
              <w:t>пожарной безопасности».</w:t>
            </w:r>
          </w:p>
          <w:p w:rsidR="000C0D48" w:rsidRPr="005E170E" w:rsidRDefault="000C0D48" w:rsidP="00123AF2">
            <w:pPr>
              <w:pStyle w:val="a4"/>
              <w:ind w:left="0" w:firstLine="720"/>
              <w:rPr>
                <w:rFonts w:ascii="Times New Roman" w:hAnsi="Times New Roman"/>
                <w:iCs/>
                <w:spacing w:val="20"/>
                <w:sz w:val="28"/>
                <w:szCs w:val="28"/>
              </w:rPr>
            </w:pPr>
            <w:r w:rsidRPr="005E170E">
              <w:rPr>
                <w:rFonts w:ascii="Times New Roman" w:hAnsi="Times New Roman"/>
                <w:sz w:val="28"/>
                <w:szCs w:val="28"/>
              </w:rPr>
              <w:t>Оценка пожарного риска проводится на основе расчета воздействия на людей поражающих факторов пожара и принятых мер по снижению частоты их возникновения и последствий. Система пожарной безопасности объекта должна обеспечивать величину пожарного риска, не превышающую предельно допустимого значения.</w:t>
            </w:r>
          </w:p>
        </w:tc>
      </w:tr>
      <w:tr w:rsidR="000C0D48" w:rsidRPr="00F51D22">
        <w:trPr>
          <w:trHeight w:val="658"/>
        </w:trPr>
        <w:tc>
          <w:tcPr>
            <w:tcW w:w="677" w:type="dxa"/>
            <w:vMerge/>
            <w:vAlign w:val="center"/>
          </w:tcPr>
          <w:p w:rsidR="000C0D48" w:rsidRPr="00F51D22" w:rsidRDefault="000C0D48" w:rsidP="00123AF2">
            <w:pPr>
              <w:pStyle w:val="a4"/>
              <w:ind w:left="0" w:firstLine="720"/>
              <w:jc w:val="center"/>
              <w:rPr>
                <w:szCs w:val="28"/>
              </w:rPr>
            </w:pPr>
          </w:p>
        </w:tc>
        <w:tc>
          <w:tcPr>
            <w:tcW w:w="9496" w:type="dxa"/>
            <w:tcBorders>
              <w:top w:val="single" w:sz="4" w:space="0" w:color="auto"/>
            </w:tcBorders>
          </w:tcPr>
          <w:p w:rsidR="000C0D48" w:rsidRPr="00F51D22" w:rsidRDefault="000C0D48" w:rsidP="00123AF2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F51D22">
              <w:rPr>
                <w:sz w:val="16"/>
                <w:szCs w:val="16"/>
              </w:rPr>
              <w:t>(Заполняется, если проводился расчет риска. В разделе указываются  расчетные значения уровня пожарного риска и допустимые значения уровня пожарного риска, а также комплекс выполняемых инженерно-технических и организационных мероприятий для обеспечения  допустимого значения уровня пожарного риска)</w:t>
            </w:r>
          </w:p>
        </w:tc>
      </w:tr>
      <w:tr w:rsidR="000C0D48" w:rsidRPr="00F51D22">
        <w:trPr>
          <w:trHeight w:val="543"/>
        </w:trPr>
        <w:tc>
          <w:tcPr>
            <w:tcW w:w="677" w:type="dxa"/>
            <w:vMerge w:val="restart"/>
            <w:vAlign w:val="center"/>
          </w:tcPr>
          <w:p w:rsidR="000C0D48" w:rsidRPr="00F51D22" w:rsidRDefault="000C0D48" w:rsidP="00123AF2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F51D22">
              <w:rPr>
                <w:b/>
                <w:szCs w:val="28"/>
                <w:lang w:val="en-US"/>
              </w:rPr>
              <w:t>II</w:t>
            </w:r>
            <w:r w:rsidRPr="00F51D22">
              <w:rPr>
                <w:b/>
                <w:szCs w:val="28"/>
              </w:rPr>
              <w:t>.</w:t>
            </w:r>
          </w:p>
        </w:tc>
        <w:tc>
          <w:tcPr>
            <w:tcW w:w="9496" w:type="dxa"/>
            <w:vAlign w:val="center"/>
          </w:tcPr>
          <w:p w:rsidR="000C0D48" w:rsidRPr="00176835" w:rsidRDefault="000C0D48" w:rsidP="00123AF2">
            <w:pPr>
              <w:pStyle w:val="a4"/>
              <w:ind w:left="0" w:firstLine="32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 w:rsidRPr="00176835"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  <w:t>Оценка возможного ущерба имуществу третьих лиц от пожара</w:t>
            </w:r>
          </w:p>
        </w:tc>
      </w:tr>
      <w:tr w:rsidR="000C0D48" w:rsidRPr="00F51D22">
        <w:trPr>
          <w:trHeight w:val="390"/>
        </w:trPr>
        <w:tc>
          <w:tcPr>
            <w:tcW w:w="677" w:type="dxa"/>
            <w:vMerge/>
            <w:vAlign w:val="center"/>
          </w:tcPr>
          <w:p w:rsidR="000C0D48" w:rsidRPr="00F51D22" w:rsidRDefault="000C0D48" w:rsidP="00123AF2">
            <w:pPr>
              <w:pStyle w:val="a4"/>
              <w:ind w:left="0" w:firstLine="720"/>
              <w:jc w:val="center"/>
              <w:rPr>
                <w:b/>
                <w:szCs w:val="28"/>
              </w:rPr>
            </w:pPr>
          </w:p>
        </w:tc>
        <w:tc>
          <w:tcPr>
            <w:tcW w:w="9496" w:type="dxa"/>
          </w:tcPr>
          <w:p w:rsidR="000C0D48" w:rsidRPr="00565814" w:rsidRDefault="000C0D48" w:rsidP="00123AF2">
            <w:pPr>
              <w:pStyle w:val="a9"/>
              <w:ind w:firstLine="720"/>
              <w:jc w:val="both"/>
              <w:rPr>
                <w:bCs/>
                <w:iCs/>
                <w:spacing w:val="20"/>
                <w:sz w:val="28"/>
                <w:szCs w:val="28"/>
              </w:rPr>
            </w:pPr>
            <w:r w:rsidRPr="00565814">
              <w:rPr>
                <w:rFonts w:eastAsia="TimesNewRoman"/>
                <w:iCs/>
                <w:spacing w:val="20"/>
                <w:sz w:val="28"/>
                <w:szCs w:val="28"/>
                <w:lang w:eastAsia="en-US"/>
              </w:rPr>
              <w:t xml:space="preserve">Ущерб имуществу третьих лиц от пожара практически исключен (900 рублей) в связи с отсутствием арендных отношений и соответствием величины противопожарных разрывов между зданиями требованиям главы 16 </w:t>
            </w:r>
            <w:r w:rsidRPr="00565814">
              <w:rPr>
                <w:bCs/>
                <w:iCs/>
                <w:spacing w:val="20"/>
                <w:sz w:val="28"/>
                <w:szCs w:val="28"/>
              </w:rPr>
              <w:t xml:space="preserve">Федерального закона Российской Федерации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5814">
                <w:rPr>
                  <w:bCs/>
                  <w:iCs/>
                  <w:spacing w:val="20"/>
                  <w:sz w:val="28"/>
                  <w:szCs w:val="28"/>
                </w:rPr>
                <w:t>2008 г</w:t>
              </w:r>
            </w:smartTag>
            <w:r w:rsidRPr="00565814">
              <w:rPr>
                <w:bCs/>
                <w:iCs/>
                <w:spacing w:val="20"/>
                <w:sz w:val="28"/>
                <w:szCs w:val="28"/>
              </w:rPr>
              <w:t>. № 123-ФЗ «Технический регламент о требованиях пожарной безопасности».</w:t>
            </w:r>
          </w:p>
        </w:tc>
      </w:tr>
      <w:tr w:rsidR="000C0D48" w:rsidRPr="00F51D22">
        <w:trPr>
          <w:trHeight w:val="619"/>
        </w:trPr>
        <w:tc>
          <w:tcPr>
            <w:tcW w:w="677" w:type="dxa"/>
            <w:vMerge/>
            <w:vAlign w:val="center"/>
          </w:tcPr>
          <w:p w:rsidR="000C0D48" w:rsidRPr="00F51D22" w:rsidRDefault="000C0D48" w:rsidP="00123AF2">
            <w:pPr>
              <w:pStyle w:val="a4"/>
              <w:ind w:left="0" w:firstLine="720"/>
              <w:jc w:val="center"/>
              <w:rPr>
                <w:b/>
                <w:szCs w:val="28"/>
              </w:rPr>
            </w:pPr>
          </w:p>
        </w:tc>
        <w:tc>
          <w:tcPr>
            <w:tcW w:w="9496" w:type="dxa"/>
          </w:tcPr>
          <w:p w:rsidR="000C0D48" w:rsidRPr="00572C96" w:rsidRDefault="000C0D48" w:rsidP="00123AF2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F51D22">
              <w:rPr>
                <w:sz w:val="16"/>
                <w:szCs w:val="16"/>
              </w:rPr>
              <w:t>( 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</w:t>
            </w:r>
            <w:r w:rsidRPr="00F51D22">
              <w:rPr>
                <w:rStyle w:val="a8"/>
                <w:sz w:val="16"/>
                <w:szCs w:val="16"/>
              </w:rPr>
              <w:footnoteReference w:id="2"/>
            </w:r>
            <w:r w:rsidRPr="00F51D22">
              <w:rPr>
                <w:sz w:val="16"/>
                <w:szCs w:val="16"/>
              </w:rPr>
              <w:t>)</w:t>
            </w:r>
          </w:p>
        </w:tc>
      </w:tr>
      <w:tr w:rsidR="000C0D48" w:rsidRPr="00F51D22">
        <w:trPr>
          <w:trHeight w:val="1407"/>
        </w:trPr>
        <w:tc>
          <w:tcPr>
            <w:tcW w:w="677" w:type="dxa"/>
            <w:vMerge w:val="restart"/>
            <w:vAlign w:val="center"/>
          </w:tcPr>
          <w:p w:rsidR="000C0D48" w:rsidRPr="00F51D22" w:rsidRDefault="000C0D48" w:rsidP="00123AF2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F51D22">
              <w:rPr>
                <w:b/>
                <w:szCs w:val="28"/>
                <w:lang w:val="en-US"/>
              </w:rPr>
              <w:t>III</w:t>
            </w:r>
            <w:r w:rsidRPr="00F51D22">
              <w:rPr>
                <w:b/>
                <w:szCs w:val="28"/>
              </w:rPr>
              <w:t>.</w:t>
            </w:r>
          </w:p>
        </w:tc>
        <w:tc>
          <w:tcPr>
            <w:tcW w:w="9496" w:type="dxa"/>
          </w:tcPr>
          <w:p w:rsidR="000C0D48" w:rsidRPr="00176835" w:rsidRDefault="000C0D48" w:rsidP="00123AF2">
            <w:pPr>
              <w:jc w:val="center"/>
              <w:rPr>
                <w:b/>
                <w:u w:val="single"/>
              </w:rPr>
            </w:pPr>
            <w:r w:rsidRPr="00176835">
              <w:rPr>
                <w:b/>
                <w:u w:val="single"/>
              </w:rPr>
      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</w:t>
            </w:r>
          </w:p>
          <w:p w:rsidR="000C0D48" w:rsidRPr="00572C96" w:rsidRDefault="000C0D48" w:rsidP="00123AF2"/>
          <w:p w:rsidR="000C0D48" w:rsidRPr="00F51D22" w:rsidRDefault="000C0D48" w:rsidP="00123AF2">
            <w:pPr>
              <w:rPr>
                <w:i/>
              </w:rPr>
            </w:pPr>
            <w:r w:rsidRPr="00572C96">
              <w:t>На данный объект защиты положения Федерального закона</w:t>
            </w:r>
            <w:r w:rsidRPr="00F51D22">
              <w:rPr>
                <w:i/>
              </w:rPr>
              <w:t xml:space="preserve"> </w:t>
            </w:r>
          </w:p>
        </w:tc>
      </w:tr>
      <w:tr w:rsidR="000C0D48" w:rsidRPr="00F51D22">
        <w:trPr>
          <w:trHeight w:val="330"/>
        </w:trPr>
        <w:tc>
          <w:tcPr>
            <w:tcW w:w="677" w:type="dxa"/>
            <w:vMerge/>
          </w:tcPr>
          <w:p w:rsidR="000C0D48" w:rsidRPr="00F51D22" w:rsidRDefault="000C0D48" w:rsidP="00123AF2">
            <w:pPr>
              <w:pStyle w:val="a4"/>
              <w:ind w:left="0" w:firstLine="720"/>
              <w:rPr>
                <w:b/>
                <w:szCs w:val="28"/>
              </w:rPr>
            </w:pPr>
          </w:p>
        </w:tc>
        <w:tc>
          <w:tcPr>
            <w:tcW w:w="9496" w:type="dxa"/>
          </w:tcPr>
          <w:p w:rsidR="000C0D48" w:rsidRPr="00F51D22" w:rsidRDefault="000C0D48" w:rsidP="00123AF2">
            <w:pPr>
              <w:pStyle w:val="a4"/>
              <w:ind w:left="0" w:firstLine="720"/>
              <w:jc w:val="center"/>
              <w:rPr>
                <w:sz w:val="20"/>
              </w:rPr>
            </w:pPr>
            <w:r w:rsidRPr="00F51D22">
              <w:rPr>
                <w:sz w:val="20"/>
              </w:rPr>
              <w:t>(В разделе указывается перечень выполняемых требований  федеральных законов о</w:t>
            </w:r>
          </w:p>
          <w:p w:rsidR="000C0D48" w:rsidRPr="00572C96" w:rsidRDefault="000C0D48" w:rsidP="00123AF2">
            <w:r w:rsidRPr="00572C96">
              <w:t xml:space="preserve">"Технический регламент о требованиях пожарной безопасности" </w:t>
            </w:r>
          </w:p>
        </w:tc>
      </w:tr>
      <w:tr w:rsidR="000C0D48" w:rsidRPr="00F51D22">
        <w:trPr>
          <w:trHeight w:val="405"/>
        </w:trPr>
        <w:tc>
          <w:tcPr>
            <w:tcW w:w="677" w:type="dxa"/>
            <w:vMerge/>
          </w:tcPr>
          <w:p w:rsidR="000C0D48" w:rsidRPr="00F51D22" w:rsidRDefault="000C0D48" w:rsidP="00123AF2">
            <w:pPr>
              <w:pStyle w:val="a4"/>
              <w:ind w:left="0" w:firstLine="720"/>
              <w:rPr>
                <w:b/>
                <w:szCs w:val="28"/>
              </w:rPr>
            </w:pPr>
          </w:p>
        </w:tc>
        <w:tc>
          <w:tcPr>
            <w:tcW w:w="9496" w:type="dxa"/>
          </w:tcPr>
          <w:p w:rsidR="000C0D48" w:rsidRPr="00F51D22" w:rsidRDefault="000C0D48" w:rsidP="00123AF2">
            <w:pPr>
              <w:pStyle w:val="a4"/>
              <w:ind w:left="0" w:firstLine="720"/>
              <w:rPr>
                <w:sz w:val="20"/>
              </w:rPr>
            </w:pPr>
            <w:r w:rsidRPr="00F51D22">
              <w:rPr>
                <w:sz w:val="20"/>
              </w:rPr>
              <w:t xml:space="preserve">                  технических  регламентах и нормативных документов по пожарной безопасности </w:t>
            </w:r>
          </w:p>
          <w:p w:rsidR="000C0D48" w:rsidRPr="00572C96" w:rsidRDefault="000C0D48" w:rsidP="00123AF2">
            <w:r w:rsidRPr="00572C96">
              <w:t xml:space="preserve">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72C96">
                <w:t>2008 г</w:t>
              </w:r>
            </w:smartTag>
            <w:r w:rsidRPr="00572C96">
              <w:t xml:space="preserve">. №123-ФЗ не распространяются, в </w:t>
            </w:r>
          </w:p>
        </w:tc>
      </w:tr>
      <w:tr w:rsidR="000C0D48" w:rsidRPr="00F51D22">
        <w:trPr>
          <w:trHeight w:val="270"/>
        </w:trPr>
        <w:tc>
          <w:tcPr>
            <w:tcW w:w="677" w:type="dxa"/>
            <w:vMerge/>
          </w:tcPr>
          <w:p w:rsidR="000C0D48" w:rsidRPr="00F51D22" w:rsidRDefault="000C0D48" w:rsidP="00123AF2">
            <w:pPr>
              <w:pStyle w:val="a4"/>
              <w:ind w:left="0" w:firstLine="720"/>
              <w:rPr>
                <w:b/>
                <w:szCs w:val="28"/>
              </w:rPr>
            </w:pPr>
          </w:p>
        </w:tc>
        <w:tc>
          <w:tcPr>
            <w:tcW w:w="9496" w:type="dxa"/>
          </w:tcPr>
          <w:p w:rsidR="000C0D48" w:rsidRPr="00F51D22" w:rsidRDefault="000C0D48" w:rsidP="00123AF2">
            <w:pPr>
              <w:pStyle w:val="a4"/>
              <w:ind w:left="0" w:firstLine="720"/>
              <w:rPr>
                <w:sz w:val="20"/>
              </w:rPr>
            </w:pPr>
            <w:r w:rsidRPr="00F51D22">
              <w:rPr>
                <w:sz w:val="20"/>
              </w:rPr>
              <w:t xml:space="preserve">                                                    для конкретного объекта защиты)</w:t>
            </w:r>
          </w:p>
          <w:p w:rsidR="000C0D48" w:rsidRPr="00572C96" w:rsidRDefault="000C0D48" w:rsidP="00123AF2">
            <w:pPr>
              <w:pStyle w:val="a4"/>
              <w:ind w:left="0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 w:rsidRPr="00572C96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>соответствии со статьей 4 вышеуказанного Закона, т.к. здание объекта защиты запроектировано и построено в соответствии с ранее действующими требованиями пожарной безопасности.</w:t>
            </w:r>
          </w:p>
          <w:p w:rsidR="000C0D48" w:rsidRPr="00565814" w:rsidRDefault="000C0D48" w:rsidP="00123AF2">
            <w:pPr>
              <w:pStyle w:val="a9"/>
              <w:ind w:firstLine="720"/>
              <w:jc w:val="both"/>
              <w:rPr>
                <w:spacing w:val="20"/>
                <w:sz w:val="28"/>
                <w:szCs w:val="28"/>
              </w:rPr>
            </w:pPr>
            <w:r w:rsidRPr="00565814">
              <w:rPr>
                <w:spacing w:val="20"/>
                <w:sz w:val="28"/>
                <w:szCs w:val="28"/>
              </w:rPr>
              <w:t xml:space="preserve">На объекте защиты обеспечивается выполнение следующих нормативных документов по пожарной безопасности, в части не противоречащие положениям Федерального закона "Технический регламент о требованиях пожарной безопасности"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5814">
                <w:rPr>
                  <w:spacing w:val="20"/>
                  <w:sz w:val="28"/>
                  <w:szCs w:val="28"/>
                </w:rPr>
                <w:t>2008 г</w:t>
              </w:r>
            </w:smartTag>
            <w:r w:rsidRPr="00565814">
              <w:rPr>
                <w:spacing w:val="20"/>
                <w:sz w:val="28"/>
                <w:szCs w:val="28"/>
              </w:rPr>
              <w:t xml:space="preserve">. №123-ФЗ, а также СП 5.13130.2009 «Системы противопожарной защиты. Установки пожарной сигнализации и пожаротушения автоматические. Нормы и правила проектирования», СП 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>3.13130.2009</w:t>
            </w:r>
            <w:r w:rsidRPr="00565814">
              <w:rPr>
                <w:spacing w:val="20"/>
                <w:sz w:val="28"/>
                <w:szCs w:val="28"/>
              </w:rPr>
              <w:t xml:space="preserve"> «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>Системы противопожарной защиты. Система оповещения и управления эвакуацией людей. Требования пожарной безопасности»,</w:t>
            </w:r>
            <w:r w:rsidRPr="00565814">
              <w:rPr>
                <w:spacing w:val="20"/>
                <w:sz w:val="28"/>
                <w:szCs w:val="28"/>
              </w:rPr>
              <w:t xml:space="preserve"> СП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 xml:space="preserve"> 7.13130.2009 </w:t>
            </w:r>
            <w:r w:rsidRPr="00565814">
              <w:rPr>
                <w:spacing w:val="20"/>
                <w:sz w:val="28"/>
                <w:szCs w:val="28"/>
              </w:rPr>
              <w:lastRenderedPageBreak/>
              <w:t>«Отопление, вентиляция и кондиционирование.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 xml:space="preserve"> Противопожарные требования», </w:t>
            </w:r>
            <w:r w:rsidRPr="00565814">
              <w:rPr>
                <w:spacing w:val="20"/>
                <w:sz w:val="28"/>
                <w:szCs w:val="28"/>
              </w:rPr>
              <w:t>СП</w:t>
            </w:r>
            <w:r w:rsidRPr="00565814">
              <w:rPr>
                <w:rFonts w:eastAsia="Calibri"/>
                <w:b/>
                <w:bCs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>10.13130.2009 «Системы противопожарной защиты.</w:t>
            </w:r>
            <w:r w:rsidRPr="00565814">
              <w:rPr>
                <w:spacing w:val="20"/>
                <w:sz w:val="28"/>
                <w:szCs w:val="28"/>
              </w:rPr>
              <w:t xml:space="preserve"> Внутренний противопожарный водопровод. 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 xml:space="preserve">Требования пожарной безопасности», СП 2.13130.2009 «Системы противопожарной защиты. </w:t>
            </w:r>
            <w:r w:rsidRPr="00565814">
              <w:rPr>
                <w:rFonts w:eastAsia="Calibri"/>
                <w:spacing w:val="20"/>
                <w:sz w:val="28"/>
                <w:szCs w:val="28"/>
                <w:lang w:eastAsia="en-US"/>
              </w:rPr>
              <w:t xml:space="preserve">Обеспечение огнестойкости объектов защиты», </w:t>
            </w:r>
            <w:r w:rsidRPr="00565814">
              <w:rPr>
                <w:spacing w:val="20"/>
                <w:sz w:val="28"/>
                <w:szCs w:val="28"/>
              </w:rPr>
              <w:t xml:space="preserve">СП 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>4.13130.2009 «Системы противопожарной защиты.</w:t>
            </w:r>
            <w:r w:rsidRPr="00565814">
              <w:rPr>
                <w:rFonts w:eastAsia="Calibri"/>
                <w:spacing w:val="20"/>
                <w:sz w:val="28"/>
                <w:szCs w:val="28"/>
                <w:lang w:eastAsia="en-US"/>
              </w:rPr>
              <w:t xml:space="preserve"> Ограничение распространения пожара на объектах защиты.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 xml:space="preserve"> Требования к объемно-планировочным и конструктивным решениям»,</w:t>
            </w:r>
            <w:r w:rsidRPr="00565814">
              <w:rPr>
                <w:spacing w:val="20"/>
                <w:sz w:val="28"/>
                <w:szCs w:val="28"/>
              </w:rPr>
              <w:t xml:space="preserve"> СП 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>6.13130.2009 «Системы противопожарной защиты. Э</w:t>
            </w:r>
            <w:r w:rsidRPr="00565814">
              <w:rPr>
                <w:rFonts w:eastAsia="Calibri"/>
                <w:spacing w:val="20"/>
                <w:sz w:val="28"/>
                <w:szCs w:val="28"/>
                <w:lang w:eastAsia="en-US"/>
              </w:rPr>
              <w:t>лектрооборудование.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 xml:space="preserve"> Требования пожарной безопасности», СП 8.13130.2009 «Системы противопожарной защиты. </w:t>
            </w:r>
            <w:r w:rsidRPr="00565814">
              <w:rPr>
                <w:rFonts w:eastAsia="Calibri"/>
                <w:spacing w:val="20"/>
                <w:sz w:val="28"/>
                <w:szCs w:val="28"/>
                <w:lang w:eastAsia="en-US"/>
              </w:rPr>
              <w:t>Источники наружного противопожарного водоснабжения.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 xml:space="preserve"> Требования пожарной безопасности», СП 9.13130.2009 «Техника пожарная. Огнетушители. Требования к эксплуатации», СП 1.13130.2009 «Системы противопожарной защиты. </w:t>
            </w:r>
            <w:r w:rsidRPr="00565814">
              <w:rPr>
                <w:rFonts w:eastAsia="Calibri"/>
                <w:spacing w:val="20"/>
                <w:sz w:val="28"/>
                <w:szCs w:val="28"/>
                <w:lang w:eastAsia="en-US"/>
              </w:rPr>
              <w:t>Эвакуационные пути и выходы</w:t>
            </w:r>
            <w:r w:rsidRPr="00565814">
              <w:rPr>
                <w:rFonts w:eastAsia="Calibri"/>
                <w:bCs/>
                <w:spacing w:val="20"/>
                <w:sz w:val="28"/>
                <w:szCs w:val="28"/>
                <w:lang w:eastAsia="en-US"/>
              </w:rPr>
              <w:t>»</w:t>
            </w:r>
            <w:r w:rsidRPr="00565814">
              <w:rPr>
                <w:spacing w:val="20"/>
                <w:sz w:val="28"/>
                <w:szCs w:val="28"/>
              </w:rPr>
              <w:t>:</w:t>
            </w:r>
          </w:p>
          <w:p w:rsidR="000C0D48" w:rsidRPr="00565814" w:rsidRDefault="000C0D48" w:rsidP="00123AF2">
            <w:pPr>
              <w:pStyle w:val="a4"/>
              <w:ind w:left="0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- Правила пожарной безопасности в Российской Федерации (введенные в действие Приказом МЧС РФ от 18.06.03 г. №313, зарегистрирован в Минюсте РФ 27.06.03г., №4838) - ППБ 01-03, за исключением п.п. 3, 53;</w:t>
            </w:r>
          </w:p>
          <w:p w:rsidR="000C0D48" w:rsidRPr="00565814" w:rsidRDefault="000C0D48" w:rsidP="00123A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Строительные нормы и правила 21-01-97* «Пожарная безопасность зданий и сооружений» (введенные в действие постановлением Министерства строительства РФ №18-7 от 13.02.97 г.) - СНиП 21-01-97*, за исключением п. 6.25;</w:t>
            </w:r>
          </w:p>
          <w:p w:rsidR="000C0D48" w:rsidRPr="00565814" w:rsidRDefault="000C0D48" w:rsidP="00123A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Строительные нормы и правила 2.08.02-89* «Общественные здания и сооружения» (введенные в действие постановлением Государственного строительного комитета СССР от</w:t>
            </w:r>
            <w:r w:rsidRPr="00565814"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t xml:space="preserve"> 16.05.89</w:t>
            </w: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</w:t>
            </w:r>
            <w:r w:rsidRPr="00565814"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t xml:space="preserve"> </w:t>
            </w: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№</w:t>
            </w:r>
            <w:r w:rsidRPr="00565814"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t xml:space="preserve"> 78) </w:t>
            </w: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- СНиП 2.08.02-89*;</w:t>
            </w:r>
          </w:p>
          <w:p w:rsidR="000C0D48" w:rsidRPr="00565814" w:rsidRDefault="000C0D48" w:rsidP="00123A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Строительные нормы и правила 41-01-2003 «Отопление, вентиляция и кондиционирование» (введенные в действие постановлением Госстроя РФ №115 от 26.06.03 г.) - СНиП 41-01-2003</w:t>
            </w:r>
            <w:r w:rsidRPr="00565814">
              <w:rPr>
                <w:rFonts w:ascii="Times New Roman" w:eastAsia="Calibri" w:hAnsi="Times New Roman"/>
                <w:bCs/>
                <w:spacing w:val="20"/>
                <w:sz w:val="28"/>
                <w:szCs w:val="28"/>
                <w:lang w:eastAsia="en-US"/>
              </w:rPr>
              <w:t>;</w:t>
            </w:r>
          </w:p>
          <w:p w:rsidR="000C0D48" w:rsidRPr="00565814" w:rsidRDefault="000C0D48" w:rsidP="00123A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Строительные нормы и правила 2.07.01-89* «Градостроительство. Планировка и застройка городских и сельских поселений» (утвержденные постановлением Государственного строительного комитета СССР от 16 мая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565814">
                <w:rPr>
                  <w:rFonts w:ascii="Times New Roman" w:hAnsi="Times New Roman"/>
                  <w:spacing w:val="20"/>
                  <w:sz w:val="28"/>
                  <w:szCs w:val="28"/>
                </w:rPr>
                <w:t>1989 г</w:t>
              </w:r>
            </w:smartTag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. № 78), - СНиП 2.07.01-89*;</w:t>
            </w:r>
          </w:p>
          <w:p w:rsidR="000C0D48" w:rsidRPr="00565814" w:rsidRDefault="000C0D48" w:rsidP="00123A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Строительные нормы и правила 23-05-95 «Естественное и искусственное освещение» (введенные в действие постановлением Минстроя РФ от 2 августа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65814">
                <w:rPr>
                  <w:rFonts w:ascii="Times New Roman" w:hAnsi="Times New Roman"/>
                  <w:spacing w:val="20"/>
                  <w:sz w:val="28"/>
                  <w:szCs w:val="28"/>
                </w:rPr>
                <w:t>1995 г</w:t>
              </w:r>
            </w:smartTag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. № 18-78), - СНиП 23-05-95;</w:t>
            </w:r>
          </w:p>
          <w:p w:rsidR="000C0D48" w:rsidRPr="00565814" w:rsidRDefault="000C0D48" w:rsidP="00123A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Строительные нормы и правила «Водоснабжение. Наружные сети и сооружения» 2.04.02-84*</w:t>
            </w:r>
            <w:r w:rsidRPr="00565814">
              <w:rPr>
                <w:rFonts w:ascii="Times New Roman" w:hAnsi="Times New Roman"/>
                <w:iCs/>
                <w:color w:val="000000"/>
                <w:spacing w:val="20"/>
                <w:sz w:val="28"/>
                <w:szCs w:val="28"/>
              </w:rPr>
              <w:t xml:space="preserve"> (утвержденные постановлением Государственного комитета СССР по делам строительства от 27 июля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565814">
                <w:rPr>
                  <w:rFonts w:ascii="Times New Roman" w:hAnsi="Times New Roman"/>
                  <w:iCs/>
                  <w:color w:val="000000"/>
                  <w:spacing w:val="20"/>
                  <w:sz w:val="28"/>
                  <w:szCs w:val="28"/>
                </w:rPr>
                <w:t>1984 г</w:t>
              </w:r>
            </w:smartTag>
            <w:r w:rsidRPr="00565814">
              <w:rPr>
                <w:rFonts w:ascii="Times New Roman" w:hAnsi="Times New Roman"/>
                <w:iCs/>
                <w:color w:val="000000"/>
                <w:spacing w:val="20"/>
                <w:sz w:val="28"/>
                <w:szCs w:val="28"/>
              </w:rPr>
              <w:t xml:space="preserve">. № 123) - </w:t>
            </w: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СНиП 2.04.02-84;</w:t>
            </w:r>
          </w:p>
          <w:p w:rsidR="000C0D48" w:rsidRPr="00565814" w:rsidRDefault="000C0D48" w:rsidP="00123A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Нормы пожарной безопасности «Обучение мерам пожарной </w:t>
            </w: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lastRenderedPageBreak/>
              <w:t>безопасности работников организаций» (введенные в действие Приказом МЧС РФ от 12.12.07г. №645, зарегистрирован в Минюсте РФ 21.01.08 г., №10938), - НПБ «Обучение мерам пожарной безопасности работников организаций»);</w:t>
            </w:r>
          </w:p>
          <w:p w:rsidR="000C0D48" w:rsidRPr="00565814" w:rsidRDefault="000C0D48" w:rsidP="00123A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ГОСТ 12.4.026-2001 «Цвета сигнальные, знаки безопасности и разметка сигнальная» (введенный в действие Постановлением Госстандарта РФ от 19.09.01 г. №387-ст) - ГОСТ Р 12.4.026-2001;</w:t>
            </w:r>
          </w:p>
          <w:p w:rsidR="000C0D48" w:rsidRPr="00F51D22" w:rsidRDefault="000C0D48" w:rsidP="00123A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i/>
                <w:szCs w:val="28"/>
              </w:rPr>
            </w:pPr>
            <w:r w:rsidRPr="00565814">
              <w:rPr>
                <w:rFonts w:ascii="Times New Roman" w:hAnsi="Times New Roman"/>
                <w:spacing w:val="20"/>
                <w:sz w:val="28"/>
                <w:szCs w:val="28"/>
              </w:rPr>
              <w:t>Нормы пожарной безопасности «Системы оповещения и управления эвакуацией людей при пожарах в зданиях и сооружениях» (введенные в действие Приказом МЧС РФ от 20.06.03г. №323, зарегистрирован в Минюсте РФ 27.06.03 г. №4837) - НПБ 104-03;</w:t>
            </w:r>
          </w:p>
        </w:tc>
      </w:tr>
    </w:tbl>
    <w:p w:rsidR="000C0D48" w:rsidRPr="00572C96" w:rsidRDefault="000C0D48" w:rsidP="000C0D48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572C96">
        <w:rPr>
          <w:rFonts w:ascii="Times New Roman" w:hAnsi="Times New Roman"/>
          <w:b/>
          <w:sz w:val="28"/>
          <w:szCs w:val="28"/>
        </w:rPr>
        <w:lastRenderedPageBreak/>
        <w:t>Настоящую декларацию разработал:</w:t>
      </w:r>
    </w:p>
    <w:p w:rsidR="000C0D48" w:rsidRDefault="000C0D48" w:rsidP="000C0D48">
      <w:r>
        <w:t xml:space="preserve">Заведующая дошкольным учреждением </w:t>
      </w:r>
      <w:r w:rsidRPr="00572C96">
        <w:t xml:space="preserve"> </w:t>
      </w:r>
    </w:p>
    <w:p w:rsidR="000C0D48" w:rsidRPr="00572C96" w:rsidRDefault="000C0D48" w:rsidP="000C0D48">
      <w:r>
        <w:t>«Родничок»</w:t>
      </w:r>
    </w:p>
    <w:p w:rsidR="000C0D48" w:rsidRPr="00572C96" w:rsidRDefault="000C0D48" w:rsidP="000C0D48">
      <w:r>
        <w:t>Иванова О.П.</w:t>
      </w:r>
      <w:r w:rsidRPr="00572C96">
        <w:t xml:space="preserve">                                              _________________</w:t>
      </w:r>
    </w:p>
    <w:p w:rsidR="000C0D48" w:rsidRPr="000B4D1C" w:rsidRDefault="000C0D48" w:rsidP="000C0D48">
      <w:pPr>
        <w:pStyle w:val="a4"/>
        <w:ind w:left="0"/>
        <w:rPr>
          <w:sz w:val="20"/>
        </w:rPr>
      </w:pPr>
      <w:r>
        <w:rPr>
          <w:sz w:val="20"/>
        </w:rPr>
        <w:t xml:space="preserve"> (Должность, фамилия, инициалы)                                                                              (Подпись)</w:t>
      </w:r>
    </w:p>
    <w:p w:rsidR="000C0D48" w:rsidRDefault="000C0D48" w:rsidP="000C0D48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«______» __________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</w:t>
      </w:r>
    </w:p>
    <w:p w:rsidR="000C0D48" w:rsidRDefault="000C0D48" w:rsidP="000C0D48">
      <w:pPr>
        <w:rPr>
          <w:bCs/>
          <w:sz w:val="24"/>
        </w:rPr>
      </w:pPr>
      <w:r w:rsidRPr="00932E26">
        <w:rPr>
          <w:bCs/>
          <w:sz w:val="24"/>
        </w:rPr>
        <w:t xml:space="preserve">           </w:t>
      </w:r>
      <w:r>
        <w:rPr>
          <w:bCs/>
          <w:sz w:val="24"/>
        </w:rPr>
        <w:t xml:space="preserve">                                                                                                      </w:t>
      </w:r>
      <w:r w:rsidRPr="00932E26">
        <w:rPr>
          <w:bCs/>
          <w:sz w:val="24"/>
        </w:rPr>
        <w:t xml:space="preserve">     М.П.</w:t>
      </w:r>
    </w:p>
    <w:p w:rsidR="00A600D8" w:rsidRDefault="00A600D8"/>
    <w:sectPr w:rsidR="00A600D8" w:rsidSect="00F64330">
      <w:pgSz w:w="11906" w:h="16838"/>
      <w:pgMar w:top="425" w:right="924" w:bottom="1440" w:left="567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0A" w:rsidRDefault="008E460A">
      <w:r>
        <w:separator/>
      </w:r>
    </w:p>
  </w:endnote>
  <w:endnote w:type="continuationSeparator" w:id="0">
    <w:p w:rsidR="008E460A" w:rsidRDefault="008E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0A" w:rsidRDefault="008E460A">
      <w:r>
        <w:separator/>
      </w:r>
    </w:p>
  </w:footnote>
  <w:footnote w:type="continuationSeparator" w:id="0">
    <w:p w:rsidR="008E460A" w:rsidRDefault="008E460A">
      <w:r>
        <w:continuationSeparator/>
      </w:r>
    </w:p>
  </w:footnote>
  <w:footnote w:id="1">
    <w:p w:rsidR="00341B5D" w:rsidRPr="00D67F76" w:rsidRDefault="00341B5D" w:rsidP="000C0D48">
      <w:pPr>
        <w:pStyle w:val="a6"/>
        <w:rPr>
          <w:sz w:val="16"/>
          <w:szCs w:val="16"/>
        </w:rPr>
      </w:pPr>
      <w:r w:rsidRPr="00D67F76">
        <w:rPr>
          <w:rStyle w:val="a8"/>
          <w:sz w:val="16"/>
          <w:szCs w:val="16"/>
        </w:rPr>
        <w:footnoteRef/>
      </w:r>
      <w:r w:rsidRPr="00D67F76">
        <w:rPr>
          <w:sz w:val="16"/>
          <w:szCs w:val="16"/>
        </w:rPr>
        <w:t xml:space="preserve"> К декларации прилагаются расчеты по оценке пожарного риска</w:t>
      </w:r>
      <w:r>
        <w:rPr>
          <w:sz w:val="16"/>
          <w:szCs w:val="16"/>
        </w:rPr>
        <w:t xml:space="preserve"> (если имеются)</w:t>
      </w:r>
      <w:r w:rsidRPr="00D67F76">
        <w:rPr>
          <w:sz w:val="16"/>
          <w:szCs w:val="16"/>
        </w:rPr>
        <w:t>.</w:t>
      </w:r>
    </w:p>
  </w:footnote>
  <w:footnote w:id="2">
    <w:p w:rsidR="00341B5D" w:rsidRPr="00D67F76" w:rsidRDefault="00341B5D" w:rsidP="000C0D48">
      <w:pPr>
        <w:pStyle w:val="a6"/>
        <w:rPr>
          <w:sz w:val="16"/>
          <w:szCs w:val="16"/>
        </w:rPr>
      </w:pPr>
      <w:r w:rsidRPr="00D67F76">
        <w:rPr>
          <w:rStyle w:val="a8"/>
          <w:sz w:val="16"/>
          <w:szCs w:val="16"/>
        </w:rPr>
        <w:footnoteRef/>
      </w:r>
      <w:r w:rsidRPr="00D67F76">
        <w:rPr>
          <w:sz w:val="16"/>
          <w:szCs w:val="16"/>
        </w:rPr>
        <w:t xml:space="preserve"> К декларации прилагается копия страхового полиса</w:t>
      </w:r>
      <w:r>
        <w:rPr>
          <w:sz w:val="16"/>
          <w:szCs w:val="16"/>
        </w:rPr>
        <w:t xml:space="preserve"> (если имеются)</w:t>
      </w:r>
      <w:r w:rsidRPr="00D67F7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6937"/>
    <w:multiLevelType w:val="hybridMultilevel"/>
    <w:tmpl w:val="550E6934"/>
    <w:lvl w:ilvl="0" w:tplc="A49203A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48"/>
    <w:rsid w:val="000C0D48"/>
    <w:rsid w:val="00123AF2"/>
    <w:rsid w:val="00341B5D"/>
    <w:rsid w:val="006D2741"/>
    <w:rsid w:val="00766A4B"/>
    <w:rsid w:val="008E460A"/>
    <w:rsid w:val="00A600D8"/>
    <w:rsid w:val="00F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D48"/>
    <w:rPr>
      <w:sz w:val="28"/>
      <w:szCs w:val="24"/>
    </w:rPr>
  </w:style>
  <w:style w:type="paragraph" w:styleId="1">
    <w:name w:val="heading 1"/>
    <w:basedOn w:val="a"/>
    <w:next w:val="a"/>
    <w:qFormat/>
    <w:rsid w:val="000C0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0C0D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nhideWhenUsed/>
    <w:rsid w:val="000C0D4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0C0D48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note text"/>
    <w:basedOn w:val="a"/>
    <w:link w:val="a7"/>
    <w:semiHidden/>
    <w:rsid w:val="000C0D4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C0D48"/>
    <w:rPr>
      <w:lang w:val="ru-RU" w:eastAsia="ru-RU" w:bidi="ar-SA"/>
    </w:rPr>
  </w:style>
  <w:style w:type="character" w:styleId="a8">
    <w:name w:val="footnote reference"/>
    <w:basedOn w:val="a0"/>
    <w:semiHidden/>
    <w:rsid w:val="000C0D48"/>
    <w:rPr>
      <w:vertAlign w:val="superscript"/>
    </w:rPr>
  </w:style>
  <w:style w:type="paragraph" w:customStyle="1" w:styleId="a1">
    <w:name w:val="Знак Знак Знак Знак Знак Знак"/>
    <w:basedOn w:val="a"/>
    <w:next w:val="1"/>
    <w:link w:val="a0"/>
    <w:rsid w:val="000C0D4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0C0D4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D48"/>
    <w:rPr>
      <w:sz w:val="28"/>
      <w:szCs w:val="24"/>
    </w:rPr>
  </w:style>
  <w:style w:type="paragraph" w:styleId="1">
    <w:name w:val="heading 1"/>
    <w:basedOn w:val="a"/>
    <w:next w:val="a"/>
    <w:qFormat/>
    <w:rsid w:val="000C0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0C0D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nhideWhenUsed/>
    <w:rsid w:val="000C0D4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0C0D48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note text"/>
    <w:basedOn w:val="a"/>
    <w:link w:val="a7"/>
    <w:semiHidden/>
    <w:rsid w:val="000C0D4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C0D48"/>
    <w:rPr>
      <w:lang w:val="ru-RU" w:eastAsia="ru-RU" w:bidi="ar-SA"/>
    </w:rPr>
  </w:style>
  <w:style w:type="character" w:styleId="a8">
    <w:name w:val="footnote reference"/>
    <w:basedOn w:val="a0"/>
    <w:semiHidden/>
    <w:rsid w:val="000C0D48"/>
    <w:rPr>
      <w:vertAlign w:val="superscript"/>
    </w:rPr>
  </w:style>
  <w:style w:type="paragraph" w:customStyle="1" w:styleId="a1">
    <w:name w:val="Знак Знак Знак Знак Знак Знак"/>
    <w:basedOn w:val="a"/>
    <w:next w:val="1"/>
    <w:link w:val="a0"/>
    <w:rsid w:val="000C0D4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0C0D4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2</cp:revision>
  <cp:lastPrinted>2010-02-19T06:28:00Z</cp:lastPrinted>
  <dcterms:created xsi:type="dcterms:W3CDTF">2015-10-30T12:39:00Z</dcterms:created>
  <dcterms:modified xsi:type="dcterms:W3CDTF">2015-10-30T12:39:00Z</dcterms:modified>
</cp:coreProperties>
</file>